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6D4766D" w14:textId="5BCEE333" w:rsidR="003D1569" w:rsidRPr="003D1569" w:rsidRDefault="003D1569" w:rsidP="003D1569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3D1569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Motýl, symbol naděje pro onkologické pacienty, je značkou nové biotechnologické firmy Taveren </w:t>
      </w:r>
      <w:proofErr w:type="spellStart"/>
      <w:r w:rsidRPr="003D1569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Therapeutics</w:t>
      </w:r>
      <w:proofErr w:type="spellEnd"/>
      <w:r w:rsidRPr="003D1569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, která vznikla </w:t>
      </w:r>
      <w:r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při</w:t>
      </w:r>
      <w:r w:rsidRPr="003D1569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ÚOCHB </w:t>
      </w:r>
    </w:p>
    <w:p w14:paraId="184A65D2" w14:textId="0FCFFA68" w:rsidR="00456677" w:rsidRPr="00456677" w:rsidRDefault="00456677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</w:p>
    <w:p w14:paraId="307B36D5" w14:textId="77777777" w:rsidR="00456677" w:rsidRDefault="00B018FA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B018FA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bookmarkEnd w:id="0"/>
    </w:p>
    <w:p w14:paraId="2382FC0C" w14:textId="5DD81F14" w:rsidR="0093221B" w:rsidRPr="00456677" w:rsidRDefault="003D1569" w:rsidP="00456677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Cs/>
          <w:iCs/>
          <w:szCs w:val="20"/>
          <w:lang w:val="cs-CZ"/>
        </w:rPr>
        <w:t xml:space="preserve">3. 12. 2025 </w:t>
      </w:r>
    </w:p>
    <w:p w14:paraId="6C91E24C" w14:textId="77777777" w:rsidR="00456677" w:rsidRDefault="00456677" w:rsidP="00456677">
      <w:pPr>
        <w:pStyle w:val="Standard"/>
        <w:widowControl w:val="0"/>
        <w:spacing w:before="120" w:after="120" w:line="276" w:lineRule="auto"/>
        <w:rPr>
          <w:rFonts w:cs="Arial"/>
          <w:b/>
          <w:iCs/>
          <w:szCs w:val="20"/>
          <w:lang w:val="cs-CZ"/>
        </w:rPr>
      </w:pPr>
      <w:bookmarkStart w:id="1" w:name="_Hlk152149017"/>
    </w:p>
    <w:p w14:paraId="7110B355" w14:textId="3EEDBDE7" w:rsidR="007B3C52" w:rsidRPr="003D1569" w:rsidRDefault="003D1569" w:rsidP="007B3C52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r w:rsidRPr="003D1569">
        <w:rPr>
          <w:rFonts w:cs="Arial"/>
          <w:b/>
          <w:bCs/>
          <w:iCs/>
          <w:szCs w:val="20"/>
          <w:lang w:val="cs-CZ"/>
        </w:rPr>
        <w:t xml:space="preserve">Ústav organické chemie a biochemie AV ČR se významně podílí na vzniku nové biotechnologické firmy Taveren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Therapeutics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, která se zaměřuje na možný originální způsob léčby rakoviny.  Autorkou novátorského přístupu a zároveň zakladatelkou nové společnosti je Dr. Zuzana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Kečkéšová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, která se zmíněnému výzkumu věnuje dlouhodobě. Začala už jako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postdoktorandka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 v americkém Massachusettském technologickém institutu (MIT). Vědkyně nabízí neotřelý způsob, jak podpořit schopnost organismu bránit se zhoubným nádorům. Výzkum pokračuje v ÚOCHB a finančně ho podporuje už řadu let </w:t>
      </w:r>
      <w:r w:rsidR="00BC41CB">
        <w:rPr>
          <w:rFonts w:cs="Arial"/>
          <w:b/>
          <w:bCs/>
          <w:iCs/>
          <w:szCs w:val="20"/>
          <w:lang w:val="cs-CZ"/>
        </w:rPr>
        <w:t xml:space="preserve">česká </w:t>
      </w:r>
      <w:r w:rsidRPr="003D1569">
        <w:rPr>
          <w:rFonts w:cs="Arial"/>
          <w:b/>
          <w:bCs/>
          <w:iCs/>
          <w:szCs w:val="20"/>
          <w:lang w:val="cs-CZ"/>
        </w:rPr>
        <w:t xml:space="preserve">společnost BTCZ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Ventures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 ze skupiny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bpd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 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partners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 a. s., která se stala rovněž největším společníkem nové spin-</w:t>
      </w:r>
      <w:proofErr w:type="spellStart"/>
      <w:r w:rsidRPr="003D1569">
        <w:rPr>
          <w:rFonts w:cs="Arial"/>
          <w:b/>
          <w:bCs/>
          <w:iCs/>
          <w:szCs w:val="20"/>
          <w:lang w:val="cs-CZ"/>
        </w:rPr>
        <w:t>off</w:t>
      </w:r>
      <w:proofErr w:type="spellEnd"/>
      <w:r w:rsidRPr="003D1569">
        <w:rPr>
          <w:rFonts w:cs="Arial"/>
          <w:b/>
          <w:bCs/>
          <w:iCs/>
          <w:szCs w:val="20"/>
          <w:lang w:val="cs-CZ"/>
        </w:rPr>
        <w:t xml:space="preserve"> firmy.  </w:t>
      </w:r>
      <w:bookmarkStart w:id="2" w:name="_Hlk152063791"/>
      <w:bookmarkEnd w:id="1"/>
    </w:p>
    <w:p w14:paraId="0BF0167F" w14:textId="6D964686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Na začátku všeho Zuzanu </w:t>
      </w:r>
      <w:proofErr w:type="spellStart"/>
      <w:r w:rsidRPr="003D1569">
        <w:rPr>
          <w:rFonts w:cs="Arial"/>
          <w:iCs/>
          <w:szCs w:val="20"/>
          <w:lang w:val="cs-CZ"/>
        </w:rPr>
        <w:t>Kečkéšovou</w:t>
      </w:r>
      <w:proofErr w:type="spellEnd"/>
      <w:r w:rsidRPr="003D1569">
        <w:rPr>
          <w:rFonts w:cs="Arial"/>
          <w:iCs/>
          <w:szCs w:val="20"/>
          <w:lang w:val="cs-CZ"/>
        </w:rPr>
        <w:t xml:space="preserve"> zaujalo, že některé tkáně lidského těla skoro nikdy netrpí rakovinou, a položila si otázku, proč jsou schopné se smrtelné nemoci bránit. V buňkách těchto tkání pak identifikovala 87 proteinů se zvýšenou schopností tlumit rakovinné bujení (potenciální tumor supresory) (</w:t>
      </w:r>
      <w:proofErr w:type="spellStart"/>
      <w:r w:rsidRPr="003D1569">
        <w:rPr>
          <w:rFonts w:cs="Arial"/>
          <w:iCs/>
          <w:szCs w:val="20"/>
          <w:lang w:val="cs-CZ"/>
        </w:rPr>
        <w:fldChar w:fldCharType="begin"/>
      </w:r>
      <w:r w:rsidRPr="003D1569">
        <w:rPr>
          <w:rFonts w:cs="Arial"/>
          <w:iCs/>
          <w:szCs w:val="20"/>
          <w:lang w:val="cs-CZ"/>
        </w:rPr>
        <w:instrText>HYPERLINK "https://doi.org/10.1038/nature21408" \t "_blank"</w:instrText>
      </w:r>
      <w:r w:rsidRPr="003D1569">
        <w:rPr>
          <w:rFonts w:cs="Arial"/>
          <w:iCs/>
          <w:szCs w:val="20"/>
          <w:lang w:val="cs-CZ"/>
        </w:rPr>
      </w:r>
      <w:r w:rsidRPr="003D1569">
        <w:rPr>
          <w:rFonts w:cs="Arial"/>
          <w:iCs/>
          <w:szCs w:val="20"/>
          <w:lang w:val="cs-CZ"/>
        </w:rPr>
        <w:fldChar w:fldCharType="separate"/>
      </w:r>
      <w:r w:rsidRPr="003D1569">
        <w:rPr>
          <w:rStyle w:val="Hypertextovodkaz"/>
          <w:rFonts w:cs="Arial"/>
          <w:iCs/>
          <w:szCs w:val="20"/>
          <w:lang w:val="cs-CZ"/>
        </w:rPr>
        <w:t>Keckesova</w:t>
      </w:r>
      <w:proofErr w:type="spellEnd"/>
      <w:r w:rsidRPr="003D1569">
        <w:rPr>
          <w:rStyle w:val="Hypertextovodkaz"/>
          <w:rFonts w:cs="Arial"/>
          <w:iCs/>
          <w:szCs w:val="20"/>
          <w:lang w:val="cs-CZ"/>
        </w:rPr>
        <w:t xml:space="preserve"> et al. 2017, </w:t>
      </w:r>
      <w:proofErr w:type="spellStart"/>
      <w:r w:rsidRPr="003D1569">
        <w:rPr>
          <w:rStyle w:val="Hypertextovodkaz"/>
          <w:rFonts w:cs="Arial"/>
          <w:iCs/>
          <w:szCs w:val="20"/>
          <w:lang w:val="cs-CZ"/>
        </w:rPr>
        <w:t>Nature</w:t>
      </w:r>
      <w:proofErr w:type="spellEnd"/>
      <w:r w:rsidRPr="003D1569">
        <w:rPr>
          <w:rFonts w:cs="Arial"/>
          <w:iCs/>
          <w:szCs w:val="20"/>
          <w:lang w:val="cs-CZ"/>
        </w:rPr>
        <w:fldChar w:fldCharType="end"/>
      </w:r>
      <w:r w:rsidRPr="003D1569">
        <w:rPr>
          <w:rFonts w:cs="Arial"/>
          <w:iCs/>
          <w:szCs w:val="20"/>
          <w:lang w:val="cs-CZ"/>
        </w:rPr>
        <w:t xml:space="preserve">). Některé z těchto látek potlačujících růst zhoubných nádorů zkoumala podrobně a snažila se na principu jejich fungování vyvinout látku využitelnou v protirakovinné léčbě. </w:t>
      </w:r>
    </w:p>
    <w:p w14:paraId="149BC022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3D1569">
        <w:rPr>
          <w:rFonts w:cs="Arial"/>
          <w:i/>
          <w:iCs/>
          <w:szCs w:val="20"/>
          <w:lang w:val="cs-CZ"/>
        </w:rPr>
        <w:t>„Začali jsem studiem tkání, ve kterých se rakovina vyskytuje zřídka, například srdce, svalů nebo chrupavky,“</w:t>
      </w:r>
      <w:r w:rsidRPr="003D1569">
        <w:rPr>
          <w:rFonts w:cs="Arial"/>
          <w:iCs/>
          <w:szCs w:val="20"/>
          <w:lang w:val="cs-CZ"/>
        </w:rPr>
        <w:t xml:space="preserve"> vysvětluje Zuzana </w:t>
      </w:r>
      <w:proofErr w:type="spellStart"/>
      <w:r w:rsidRPr="003D1569">
        <w:rPr>
          <w:rFonts w:cs="Arial"/>
          <w:iCs/>
          <w:szCs w:val="20"/>
          <w:lang w:val="cs-CZ"/>
        </w:rPr>
        <w:t>Kečkéšová</w:t>
      </w:r>
      <w:proofErr w:type="spellEnd"/>
      <w:r w:rsidRPr="003D1569">
        <w:rPr>
          <w:rFonts w:cs="Arial"/>
          <w:iCs/>
          <w:szCs w:val="20"/>
          <w:lang w:val="cs-CZ"/>
        </w:rPr>
        <w:t xml:space="preserve">. </w:t>
      </w:r>
      <w:r w:rsidRPr="003D1569">
        <w:rPr>
          <w:rFonts w:cs="Arial"/>
          <w:i/>
          <w:iCs/>
          <w:szCs w:val="20"/>
          <w:lang w:val="cs-CZ"/>
        </w:rPr>
        <w:t>„Zjistili jsme, že tyto tkáně obsahují faktory, které rakovinovým buňkám brání se v nich usadit. Na základě toho jsme objevili nové tumor supresory a dnes už vyvíjíme molekuly, které by dokázaly aktivovat jejich ochranný účinek.“</w:t>
      </w:r>
    </w:p>
    <w:p w14:paraId="3626A275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Výzkumný tým aktuálně pracuje se třemi terapeutickými sloučeninami, které dokážou reaktivovat jeden z tumor supresorů nazvaný LACTB. Molekuly byly objeveny ve spolupráci s laboratoří prof. Michala </w:t>
      </w:r>
      <w:proofErr w:type="spellStart"/>
      <w:r w:rsidRPr="003D1569">
        <w:rPr>
          <w:rFonts w:cs="Arial"/>
          <w:iCs/>
          <w:szCs w:val="20"/>
          <w:lang w:val="cs-CZ"/>
        </w:rPr>
        <w:t>Hocka</w:t>
      </w:r>
      <w:proofErr w:type="spellEnd"/>
      <w:r w:rsidRPr="003D1569">
        <w:rPr>
          <w:rFonts w:cs="Arial"/>
          <w:iCs/>
          <w:szCs w:val="20"/>
          <w:lang w:val="cs-CZ"/>
        </w:rPr>
        <w:t xml:space="preserve"> z ÚOCHB. Od té doby prošly rozsáhlým testováním od buněčných kultur až po myší modely, které napodobují lidské nádory. V tuto chvíli se blíží do finále preklinické testy, a pokud se vše povede, bude následovat přihláška, která umožní spustit klinické testy, tedy zahájení výzkumu s lidskými pacienty. </w:t>
      </w:r>
    </w:p>
    <w:p w14:paraId="03332EA3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3D1569">
        <w:rPr>
          <w:rFonts w:cs="Arial"/>
          <w:i/>
          <w:iCs/>
          <w:szCs w:val="20"/>
          <w:lang w:val="cs-CZ"/>
        </w:rPr>
        <w:t xml:space="preserve">„Tento příběh je skvělým příkladem sepětí zcela originálního základního výzkumu a mimořádně </w:t>
      </w:r>
      <w:r w:rsidRPr="003D1569">
        <w:rPr>
          <w:rFonts w:cs="Arial"/>
          <w:i/>
          <w:iCs/>
          <w:szCs w:val="20"/>
          <w:lang w:val="cs-CZ"/>
        </w:rPr>
        <w:lastRenderedPageBreak/>
        <w:t xml:space="preserve">zajímavé klinické aplikace, která má potenciál vést k novému způsobu léčení nádorových chorob,“ </w:t>
      </w:r>
      <w:r w:rsidRPr="003D1569">
        <w:rPr>
          <w:rFonts w:cs="Arial"/>
          <w:iCs/>
          <w:szCs w:val="20"/>
          <w:lang w:val="cs-CZ"/>
        </w:rPr>
        <w:t>říká ředitel ÚOCHB prof. Jan Konvalinka a dodává:</w:t>
      </w:r>
      <w:r w:rsidRPr="003D1569">
        <w:rPr>
          <w:rFonts w:cs="Arial"/>
          <w:i/>
          <w:iCs/>
          <w:szCs w:val="20"/>
          <w:lang w:val="cs-CZ"/>
        </w:rPr>
        <w:t xml:space="preserve"> „Jedná se o další příklad, kdy kombinace špičkové biologie a inovativní medicinální chemie, pro náš ústav typická, nese své plody. Jsem hrdý, že dokážeme vytvořit prostředí, v němž se právě tohle daří. Přeju </w:t>
      </w:r>
      <w:proofErr w:type="spellStart"/>
      <w:r w:rsidRPr="003D1569">
        <w:rPr>
          <w:rFonts w:cs="Arial"/>
          <w:i/>
          <w:iCs/>
          <w:szCs w:val="20"/>
          <w:lang w:val="cs-CZ"/>
        </w:rPr>
        <w:t>Taverenu</w:t>
      </w:r>
      <w:proofErr w:type="spellEnd"/>
      <w:r w:rsidRPr="003D1569">
        <w:rPr>
          <w:rFonts w:cs="Arial"/>
          <w:i/>
          <w:iCs/>
          <w:szCs w:val="20"/>
          <w:lang w:val="cs-CZ"/>
        </w:rPr>
        <w:t xml:space="preserve"> všechno nejlepší!“ </w:t>
      </w:r>
    </w:p>
    <w:p w14:paraId="5D90C54E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Peníze z komerční sféry získala Zuzana </w:t>
      </w:r>
      <w:proofErr w:type="spellStart"/>
      <w:r w:rsidRPr="003D1569">
        <w:rPr>
          <w:rFonts w:cs="Arial"/>
          <w:iCs/>
          <w:szCs w:val="20"/>
          <w:lang w:val="cs-CZ"/>
        </w:rPr>
        <w:t>Kečkéšová</w:t>
      </w:r>
      <w:proofErr w:type="spellEnd"/>
      <w:r w:rsidRPr="003D1569">
        <w:rPr>
          <w:rFonts w:cs="Arial"/>
          <w:iCs/>
          <w:szCs w:val="20"/>
          <w:lang w:val="cs-CZ"/>
        </w:rPr>
        <w:t xml:space="preserve"> a </w:t>
      </w:r>
      <w:hyperlink r:id="rId7" w:tgtFrame="_blank" w:history="1">
        <w:r w:rsidRPr="003D1569">
          <w:rPr>
            <w:rStyle w:val="Hypertextovodkaz"/>
            <w:rFonts w:cs="Arial"/>
            <w:iCs/>
            <w:szCs w:val="20"/>
            <w:lang w:val="cs-CZ"/>
          </w:rPr>
          <w:t xml:space="preserve">její tým </w:t>
        </w:r>
      </w:hyperlink>
      <w:r w:rsidRPr="003D1569">
        <w:rPr>
          <w:rFonts w:cs="Arial"/>
          <w:iCs/>
          <w:szCs w:val="20"/>
          <w:lang w:val="cs-CZ"/>
        </w:rPr>
        <w:t xml:space="preserve"> poprvé v roce 2018. Tehdy její výzkum podpořila skupina </w:t>
      </w:r>
      <w:proofErr w:type="spellStart"/>
      <w:r w:rsidRPr="003D1569">
        <w:rPr>
          <w:rFonts w:cs="Arial"/>
          <w:iCs/>
          <w:szCs w:val="20"/>
          <w:lang w:val="cs-CZ"/>
        </w:rPr>
        <w:t>bpd</w:t>
      </w:r>
      <w:proofErr w:type="spellEnd"/>
      <w:r w:rsidRPr="003D1569">
        <w:rPr>
          <w:rFonts w:cs="Arial"/>
          <w:iCs/>
          <w:szCs w:val="20"/>
          <w:lang w:val="cs-CZ"/>
        </w:rPr>
        <w:t xml:space="preserve"> </w:t>
      </w:r>
      <w:proofErr w:type="spellStart"/>
      <w:r w:rsidRPr="003D1569">
        <w:rPr>
          <w:rFonts w:cs="Arial"/>
          <w:iCs/>
          <w:szCs w:val="20"/>
          <w:lang w:val="cs-CZ"/>
        </w:rPr>
        <w:t>partners</w:t>
      </w:r>
      <w:proofErr w:type="spellEnd"/>
      <w:r w:rsidRPr="003D1569">
        <w:rPr>
          <w:rFonts w:cs="Arial"/>
          <w:iCs/>
          <w:szCs w:val="20"/>
          <w:lang w:val="cs-CZ"/>
        </w:rPr>
        <w:t xml:space="preserve"> prostřednictvím společnosti BTCZ </w:t>
      </w:r>
      <w:proofErr w:type="spellStart"/>
      <w:r w:rsidRPr="003D1569">
        <w:rPr>
          <w:rFonts w:cs="Arial"/>
          <w:iCs/>
          <w:szCs w:val="20"/>
          <w:lang w:val="cs-CZ"/>
        </w:rPr>
        <w:t>Ventures</w:t>
      </w:r>
      <w:proofErr w:type="spellEnd"/>
      <w:r w:rsidRPr="003D1569">
        <w:rPr>
          <w:rFonts w:cs="Arial"/>
          <w:iCs/>
          <w:szCs w:val="20"/>
          <w:lang w:val="cs-CZ"/>
        </w:rPr>
        <w:t xml:space="preserve"> částkou 1,75 mil. eur. V červnu 2023 pak společnost s ÚOCHB podepsala </w:t>
      </w:r>
      <w:hyperlink r:id="rId8" w:history="1"/>
      <w:hyperlink r:id="rId9" w:history="1">
        <w:r w:rsidRPr="003D1569">
          <w:rPr>
            <w:rStyle w:val="Hypertextovodkaz"/>
            <w:rFonts w:cs="Arial"/>
            <w:iCs/>
            <w:szCs w:val="20"/>
            <w:lang w:val="cs-CZ"/>
          </w:rPr>
          <w:t>dohodu o další podpoře</w:t>
        </w:r>
      </w:hyperlink>
      <w:r w:rsidRPr="003D1569">
        <w:rPr>
          <w:rFonts w:cs="Arial"/>
          <w:iCs/>
          <w:szCs w:val="20"/>
          <w:lang w:val="cs-CZ"/>
        </w:rPr>
        <w:t xml:space="preserve">, tentokrát ve výši jeden milion eur. S posledním příspěvkem do vznikající firmy Taveren se celková částka poskytnutá skupinou </w:t>
      </w:r>
      <w:proofErr w:type="spellStart"/>
      <w:r w:rsidRPr="003D1569">
        <w:rPr>
          <w:rFonts w:cs="Arial"/>
          <w:iCs/>
          <w:szCs w:val="20"/>
          <w:lang w:val="cs-CZ"/>
        </w:rPr>
        <w:t>bpd</w:t>
      </w:r>
      <w:proofErr w:type="spellEnd"/>
      <w:r w:rsidRPr="003D1569">
        <w:rPr>
          <w:rFonts w:cs="Arial"/>
          <w:iCs/>
          <w:szCs w:val="20"/>
          <w:lang w:val="cs-CZ"/>
        </w:rPr>
        <w:t xml:space="preserve"> </w:t>
      </w:r>
      <w:proofErr w:type="spellStart"/>
      <w:r w:rsidRPr="003D1569">
        <w:rPr>
          <w:rFonts w:cs="Arial"/>
          <w:iCs/>
          <w:szCs w:val="20"/>
          <w:lang w:val="cs-CZ"/>
        </w:rPr>
        <w:t>partners</w:t>
      </w:r>
      <w:proofErr w:type="spellEnd"/>
      <w:r w:rsidRPr="003D1569">
        <w:rPr>
          <w:rFonts w:cs="Arial"/>
          <w:iCs/>
          <w:szCs w:val="20"/>
          <w:lang w:val="cs-CZ"/>
        </w:rPr>
        <w:t xml:space="preserve"> na tento na výzkum šplhá na skoro 4 miliony eur. </w:t>
      </w:r>
    </w:p>
    <w:p w14:paraId="15EE33FB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BTCZ </w:t>
      </w:r>
      <w:proofErr w:type="spellStart"/>
      <w:r w:rsidRPr="003D1569">
        <w:rPr>
          <w:rFonts w:cs="Arial"/>
          <w:iCs/>
          <w:szCs w:val="20"/>
          <w:lang w:val="cs-CZ"/>
        </w:rPr>
        <w:t>Ventures</w:t>
      </w:r>
      <w:proofErr w:type="spellEnd"/>
      <w:r w:rsidRPr="003D1569">
        <w:rPr>
          <w:rFonts w:cs="Arial"/>
          <w:iCs/>
          <w:szCs w:val="20"/>
          <w:lang w:val="cs-CZ"/>
        </w:rPr>
        <w:t xml:space="preserve"> s.r.o. je společnost založená skupinou </w:t>
      </w:r>
      <w:proofErr w:type="spellStart"/>
      <w:r w:rsidRPr="003D1569">
        <w:rPr>
          <w:rFonts w:cs="Arial"/>
          <w:iCs/>
          <w:szCs w:val="20"/>
          <w:lang w:val="cs-CZ"/>
        </w:rPr>
        <w:t>bpd</w:t>
      </w:r>
      <w:proofErr w:type="spellEnd"/>
      <w:r w:rsidRPr="003D1569">
        <w:rPr>
          <w:rFonts w:cs="Arial"/>
          <w:iCs/>
          <w:szCs w:val="20"/>
          <w:lang w:val="cs-CZ"/>
        </w:rPr>
        <w:t xml:space="preserve"> </w:t>
      </w:r>
      <w:proofErr w:type="spellStart"/>
      <w:r w:rsidRPr="003D1569">
        <w:rPr>
          <w:rFonts w:cs="Arial"/>
          <w:iCs/>
          <w:szCs w:val="20"/>
          <w:lang w:val="cs-CZ"/>
        </w:rPr>
        <w:t>partners</w:t>
      </w:r>
      <w:proofErr w:type="spellEnd"/>
      <w:r w:rsidRPr="003D1569">
        <w:rPr>
          <w:rFonts w:cs="Arial"/>
          <w:iCs/>
          <w:szCs w:val="20"/>
          <w:lang w:val="cs-CZ"/>
        </w:rPr>
        <w:t xml:space="preserve"> a společností B3 Holding (společnost rodiny Brůžkových) s cílem investovat do zajímavých start-up projektů v oblasti zdravotnických technologií a biotechnologií. Miroslav Tvrzník, ředitel divize M&amp;A a obnovitelných zdrojů společnosti </w:t>
      </w:r>
      <w:proofErr w:type="spellStart"/>
      <w:r w:rsidRPr="003D1569">
        <w:rPr>
          <w:rFonts w:cs="Arial"/>
          <w:iCs/>
          <w:szCs w:val="20"/>
          <w:lang w:val="cs-CZ"/>
        </w:rPr>
        <w:t>bpd</w:t>
      </w:r>
      <w:proofErr w:type="spellEnd"/>
      <w:r w:rsidRPr="003D1569">
        <w:rPr>
          <w:rFonts w:cs="Arial"/>
          <w:iCs/>
          <w:szCs w:val="20"/>
          <w:lang w:val="cs-CZ"/>
        </w:rPr>
        <w:t xml:space="preserve"> </w:t>
      </w:r>
      <w:proofErr w:type="spellStart"/>
      <w:r w:rsidRPr="003D1569">
        <w:rPr>
          <w:rFonts w:cs="Arial"/>
          <w:iCs/>
          <w:szCs w:val="20"/>
          <w:lang w:val="cs-CZ"/>
        </w:rPr>
        <w:t>partners</w:t>
      </w:r>
      <w:proofErr w:type="spellEnd"/>
      <w:r w:rsidRPr="003D1569">
        <w:rPr>
          <w:rFonts w:cs="Arial"/>
          <w:iCs/>
          <w:szCs w:val="20"/>
          <w:lang w:val="cs-CZ"/>
        </w:rPr>
        <w:t xml:space="preserve"> vysvětluje, proč si vybrali právě zmíněný projekt:</w:t>
      </w:r>
      <w:r w:rsidRPr="003D1569">
        <w:rPr>
          <w:rFonts w:cs="Arial"/>
          <w:i/>
          <w:iCs/>
          <w:szCs w:val="20"/>
          <w:lang w:val="cs-CZ"/>
        </w:rPr>
        <w:t xml:space="preserve"> „Naše společnost identifikovala velký potenciál výzkumu Dr. </w:t>
      </w:r>
      <w:proofErr w:type="spellStart"/>
      <w:r w:rsidRPr="003D1569">
        <w:rPr>
          <w:rFonts w:cs="Arial"/>
          <w:i/>
          <w:iCs/>
          <w:szCs w:val="20"/>
          <w:lang w:val="cs-CZ"/>
        </w:rPr>
        <w:t>Kečkéšové</w:t>
      </w:r>
      <w:proofErr w:type="spellEnd"/>
      <w:r w:rsidRPr="003D1569">
        <w:rPr>
          <w:rFonts w:cs="Arial"/>
          <w:i/>
          <w:iCs/>
          <w:szCs w:val="20"/>
          <w:lang w:val="cs-CZ"/>
        </w:rPr>
        <w:t xml:space="preserve"> hned po jejím návratu z MIT do ČR. Jsme velmi rádi, že se v úzké spolupráci s tak významnou institucí, jakou je ÚOCHB, podílíme na podpoře záměru, který může vést k výraznému pokroku v boji s jednou z nejzákeřnějších chorob současnosti. Těšíme se na úspěšné pokračování spolupráce s paní Dr. </w:t>
      </w:r>
      <w:proofErr w:type="spellStart"/>
      <w:r w:rsidRPr="003D1569">
        <w:rPr>
          <w:rFonts w:cs="Arial"/>
          <w:i/>
          <w:iCs/>
          <w:szCs w:val="20"/>
          <w:lang w:val="cs-CZ"/>
        </w:rPr>
        <w:t>Kečkéšovou</w:t>
      </w:r>
      <w:proofErr w:type="spellEnd"/>
      <w:r w:rsidRPr="003D1569">
        <w:rPr>
          <w:rFonts w:cs="Arial"/>
          <w:i/>
          <w:iCs/>
          <w:szCs w:val="20"/>
          <w:lang w:val="cs-CZ"/>
        </w:rPr>
        <w:t xml:space="preserve"> v rámci nově založené společnosti Taveren </w:t>
      </w:r>
      <w:proofErr w:type="spellStart"/>
      <w:r w:rsidRPr="003D1569">
        <w:rPr>
          <w:rFonts w:cs="Arial"/>
          <w:i/>
          <w:iCs/>
          <w:szCs w:val="20"/>
          <w:lang w:val="cs-CZ"/>
        </w:rPr>
        <w:t>Therapeutics</w:t>
      </w:r>
      <w:proofErr w:type="spellEnd"/>
      <w:r w:rsidRPr="003D1569">
        <w:rPr>
          <w:rFonts w:cs="Arial"/>
          <w:i/>
          <w:iCs/>
          <w:szCs w:val="20"/>
          <w:lang w:val="cs-CZ"/>
        </w:rPr>
        <w:t xml:space="preserve">.“  </w:t>
      </w:r>
    </w:p>
    <w:p w14:paraId="6E4CEB37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V současné době mají o podíl na financování projektu Zuzany </w:t>
      </w:r>
      <w:proofErr w:type="spellStart"/>
      <w:r w:rsidRPr="003D1569">
        <w:rPr>
          <w:rFonts w:cs="Arial"/>
          <w:iCs/>
          <w:szCs w:val="20"/>
          <w:lang w:val="cs-CZ"/>
        </w:rPr>
        <w:t>Kečkéšové</w:t>
      </w:r>
      <w:proofErr w:type="spellEnd"/>
      <w:r w:rsidRPr="003D1569">
        <w:rPr>
          <w:rFonts w:cs="Arial"/>
          <w:iCs/>
          <w:szCs w:val="20"/>
          <w:lang w:val="cs-CZ"/>
        </w:rPr>
        <w:t xml:space="preserve"> během dokončování preklinické fáze zájem další dva české subjekty. Vedení firmy Taveren jedná zároveň s americkými investory, kteří by finančně zajistili následné klinické testování. Cílem je zvládnout financování prvních dvou fází klinických zkoušek vlastními silami s podporou vybraných investorů a venture kapitálu, a poté zahájit spolupráci s velkou farmaceutickou společností.</w:t>
      </w:r>
    </w:p>
    <w:p w14:paraId="17E87E51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3D1569">
        <w:rPr>
          <w:rFonts w:cs="Arial"/>
          <w:iCs/>
          <w:szCs w:val="20"/>
          <w:lang w:val="cs-CZ"/>
        </w:rPr>
        <w:t xml:space="preserve">Taveren </w:t>
      </w:r>
      <w:proofErr w:type="spellStart"/>
      <w:r w:rsidRPr="003D1569">
        <w:rPr>
          <w:rFonts w:cs="Arial"/>
          <w:iCs/>
          <w:szCs w:val="20"/>
          <w:lang w:val="cs-CZ"/>
        </w:rPr>
        <w:t>Therapeutics</w:t>
      </w:r>
      <w:proofErr w:type="spellEnd"/>
      <w:r w:rsidRPr="003D1569">
        <w:rPr>
          <w:rFonts w:cs="Arial"/>
          <w:iCs/>
          <w:szCs w:val="20"/>
          <w:lang w:val="cs-CZ"/>
        </w:rPr>
        <w:t xml:space="preserve"> bude fungovat v digitálním režimu.  Veškerý výzkum a testování zajistí specializovaná pracoviště, která svoje služby poskytují na klíč. Od tohoto modelu si Zuzana </w:t>
      </w:r>
      <w:proofErr w:type="spellStart"/>
      <w:r w:rsidRPr="003D1569">
        <w:rPr>
          <w:rFonts w:cs="Arial"/>
          <w:iCs/>
          <w:szCs w:val="20"/>
          <w:lang w:val="cs-CZ"/>
        </w:rPr>
        <w:t>Kečkéšová</w:t>
      </w:r>
      <w:proofErr w:type="spellEnd"/>
      <w:r w:rsidRPr="003D1569">
        <w:rPr>
          <w:rFonts w:cs="Arial"/>
          <w:iCs/>
          <w:szCs w:val="20"/>
          <w:lang w:val="cs-CZ"/>
        </w:rPr>
        <w:t xml:space="preserve"> slibuje, že firma bude flexibilní, efektivní, úsporná a současně důvěryhodná pro regulační orgány. </w:t>
      </w:r>
    </w:p>
    <w:p w14:paraId="4D429B1A" w14:textId="77777777" w:rsidR="003D1569" w:rsidRPr="003D1569" w:rsidRDefault="003D1569" w:rsidP="003D1569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77886039" w14:textId="0F451EB2" w:rsidR="00456677" w:rsidRPr="00456677" w:rsidRDefault="00456677" w:rsidP="007B3C52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bookmarkEnd w:id="2"/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10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53AB1998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6CAEF83A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511B15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14C0BE61" w:rsidR="005A6320" w:rsidRDefault="005A6320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="008930DD"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="008930DD" w:rsidRPr="00511B15">
        <w:rPr>
          <w:rFonts w:cs="Arial"/>
          <w:kern w:val="1"/>
          <w:szCs w:val="20"/>
          <w:lang w:val="cs-CZ"/>
        </w:rPr>
        <w:t xml:space="preserve">: </w:t>
      </w:r>
      <w:hyperlink r:id="rId11" w:history="1">
        <w:r w:rsidRPr="00407561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3491F5EF" w14:textId="7EE56A71" w:rsidR="008930DD" w:rsidRPr="00511B15" w:rsidRDefault="008930D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 w:rsidR="009C6015">
        <w:rPr>
          <w:rFonts w:cs="Arial"/>
          <w:kern w:val="1"/>
          <w:szCs w:val="20"/>
          <w:lang w:val="cs-CZ"/>
        </w:rPr>
        <w:t> 602 160 135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1143D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2E5D" w14:textId="77777777" w:rsidR="00D55D0D" w:rsidRDefault="00D55D0D" w:rsidP="00AF7F5A">
      <w:r>
        <w:separator/>
      </w:r>
    </w:p>
  </w:endnote>
  <w:endnote w:type="continuationSeparator" w:id="0">
    <w:p w14:paraId="58461561" w14:textId="77777777" w:rsidR="00D55D0D" w:rsidRDefault="00D55D0D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7777777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9B6" w14:textId="77777777" w:rsidR="00D55D0D" w:rsidRDefault="00D55D0D" w:rsidP="00AF7F5A">
      <w:r>
        <w:separator/>
      </w:r>
    </w:p>
  </w:footnote>
  <w:footnote w:type="continuationSeparator" w:id="0">
    <w:p w14:paraId="1B729A48" w14:textId="77777777" w:rsidR="00D55D0D" w:rsidRDefault="00D55D0D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7777777" w:rsidR="00AF7F5A" w:rsidRDefault="00AF7F5A" w:rsidP="000D457B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04A30D8D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8080594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1D59446F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6272AE08" w14:textId="13B20C2C" w:rsidR="00B94938" w:rsidRPr="007D2D4A" w:rsidRDefault="007D2D4A" w:rsidP="007D2D4A">
    <w:pPr>
      <w:pStyle w:val="Zhlav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552D"/>
    <w:rsid w:val="00015C56"/>
    <w:rsid w:val="00031703"/>
    <w:rsid w:val="0003226B"/>
    <w:rsid w:val="0003522A"/>
    <w:rsid w:val="00067A28"/>
    <w:rsid w:val="00072817"/>
    <w:rsid w:val="00081A54"/>
    <w:rsid w:val="00090482"/>
    <w:rsid w:val="000927BA"/>
    <w:rsid w:val="00094800"/>
    <w:rsid w:val="000B034B"/>
    <w:rsid w:val="000B1552"/>
    <w:rsid w:val="000B38E1"/>
    <w:rsid w:val="000B5FE5"/>
    <w:rsid w:val="000C48B9"/>
    <w:rsid w:val="000C4D9E"/>
    <w:rsid w:val="000D457B"/>
    <w:rsid w:val="000E0E27"/>
    <w:rsid w:val="000E5E27"/>
    <w:rsid w:val="000E694E"/>
    <w:rsid w:val="001009D7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C3AEE"/>
    <w:rsid w:val="002E01AA"/>
    <w:rsid w:val="002E0764"/>
    <w:rsid w:val="002E687C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A4313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1569"/>
    <w:rsid w:val="003D5833"/>
    <w:rsid w:val="003E66C9"/>
    <w:rsid w:val="00406F06"/>
    <w:rsid w:val="00407561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21B2"/>
    <w:rsid w:val="0050323B"/>
    <w:rsid w:val="0050352F"/>
    <w:rsid w:val="00505B7A"/>
    <w:rsid w:val="00511B15"/>
    <w:rsid w:val="00521C2C"/>
    <w:rsid w:val="0052203D"/>
    <w:rsid w:val="00523415"/>
    <w:rsid w:val="00550A33"/>
    <w:rsid w:val="00557F20"/>
    <w:rsid w:val="00561DC3"/>
    <w:rsid w:val="00566DB2"/>
    <w:rsid w:val="005A1E70"/>
    <w:rsid w:val="005A6320"/>
    <w:rsid w:val="005C04E3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2FAC"/>
    <w:rsid w:val="00694738"/>
    <w:rsid w:val="006A2EB9"/>
    <w:rsid w:val="006A3902"/>
    <w:rsid w:val="006A7334"/>
    <w:rsid w:val="006B582C"/>
    <w:rsid w:val="006C2BC2"/>
    <w:rsid w:val="006D7118"/>
    <w:rsid w:val="006E35DE"/>
    <w:rsid w:val="006E7F06"/>
    <w:rsid w:val="00700E27"/>
    <w:rsid w:val="00701BB6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802658"/>
    <w:rsid w:val="00806E47"/>
    <w:rsid w:val="00814C13"/>
    <w:rsid w:val="008256E8"/>
    <w:rsid w:val="00830C8E"/>
    <w:rsid w:val="00847B26"/>
    <w:rsid w:val="00860146"/>
    <w:rsid w:val="00867BDA"/>
    <w:rsid w:val="0087543F"/>
    <w:rsid w:val="00876B8A"/>
    <w:rsid w:val="008930DD"/>
    <w:rsid w:val="008B3011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5993"/>
    <w:rsid w:val="00B67597"/>
    <w:rsid w:val="00B72D01"/>
    <w:rsid w:val="00B73ACC"/>
    <w:rsid w:val="00B94938"/>
    <w:rsid w:val="00BB55B1"/>
    <w:rsid w:val="00BC41CB"/>
    <w:rsid w:val="00C173B8"/>
    <w:rsid w:val="00C26B10"/>
    <w:rsid w:val="00C41A7C"/>
    <w:rsid w:val="00C441FA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55D0D"/>
    <w:rsid w:val="00D639CC"/>
    <w:rsid w:val="00D8016E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3B27"/>
    <w:rsid w:val="00F04DDE"/>
    <w:rsid w:val="00F40C69"/>
    <w:rsid w:val="00F42A51"/>
    <w:rsid w:val="00F661EA"/>
    <w:rsid w:val="00F7589A"/>
    <w:rsid w:val="00F856CF"/>
    <w:rsid w:val="00F870DD"/>
    <w:rsid w:val="00FB0AF3"/>
    <w:rsid w:val="00FB131A"/>
    <w:rsid w:val="00FC1E51"/>
    <w:rsid w:val="00FD5077"/>
    <w:rsid w:val="00FD6A3A"/>
    <w:rsid w:val="00FE0664"/>
    <w:rsid w:val="00FE25FC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chb.cz/cs/novinky/54/soukromy-kapital-podpori-zakladni-vyzkum-na-uochb-zamereny-na-rakovinu-castkou-1-75-mil-eu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eckesova.group.uochb.cz/c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eronika.sedlackova@uochb.ca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oc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chb.cz/cs/novinky/515/zakladni-vyzkum-v-uochb-cileny-na-lecbu-rakoviny-ziskava-velkou-podporu-soukromeho-kapital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3</cp:revision>
  <cp:lastPrinted>2017-08-09T12:51:00Z</cp:lastPrinted>
  <dcterms:created xsi:type="dcterms:W3CDTF">2025-12-02T14:27:00Z</dcterms:created>
  <dcterms:modified xsi:type="dcterms:W3CDTF">2025-12-03T08:56:00Z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